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left"/>
      </w:pPr>
      <w:r>
        <w:rPr>
          <w:rFonts w:ascii="Microsoft YaHei" w:hAnsi="Microsoft YaHei" w:eastAsia="Microsoft YaHei"/>
          <w:b/>
          <w:color w:val="167D77"/>
          <w:sz w:val="20"/>
        </w:rPr>
        <w:t>KANGJI  EVIDENCE ATLAS</w:t>
      </w:r>
    </w:p>
    <w:p>
      <w:pPr>
        <w:pStyle w:val="Title"/>
        <w:jc w:val="left"/>
      </w:pPr>
      <w:r>
        <w:t>康迹 应用场景说明</w:t>
      </w:r>
    </w:p>
    <w:p>
      <w:pPr>
        <w:spacing w:after="520"/>
      </w:pPr>
      <w:r>
        <w:rPr>
          <w:rFonts w:ascii="Microsoft YaHei" w:hAnsi="Microsoft YaHei" w:eastAsia="Microsoft YaHei"/>
          <w:b w:val="0"/>
          <w:color w:val="5A6570"/>
          <w:sz w:val="30"/>
        </w:rPr>
        <w:t>面向学习 预习与数字策展的证据优先文化 AI</w:t>
      </w:r>
    </w:p>
    <w:p>
      <w:pPr>
        <w:spacing w:before="560" w:after="360"/>
      </w:pPr>
      <w:r>
        <w:rPr>
          <w:rFonts w:ascii="Microsoft YaHei" w:hAnsi="Microsoft YaHei" w:eastAsia="Microsoft YaHei"/>
          <w:b w:val="0"/>
          <w:color w:val="000000"/>
          <w:sz w:val="26"/>
        </w:rPr>
        <w:t>以可追溯证据组织地方历史 以明确边界约束 AI 输出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参赛组别  </w:t>
      </w:r>
      <w:r>
        <w:rPr>
          <w:rFonts w:ascii="Microsoft YaHei" w:hAnsi="Microsoft YaHei" w:eastAsia="Microsoft YaHei"/>
          <w:b w:val="0"/>
          <w:color w:val="000000"/>
          <w:sz w:val="21"/>
        </w:rPr>
        <w:t>青少年组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创意单元  </w:t>
      </w:r>
      <w:r>
        <w:rPr>
          <w:rFonts w:ascii="Microsoft YaHei" w:hAnsi="Microsoft YaHei" w:eastAsia="Microsoft YaHei"/>
          <w:b w:val="0"/>
          <w:color w:val="000000"/>
          <w:sz w:val="21"/>
        </w:rPr>
        <w:t>创新应用单元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成果类型  </w:t>
      </w:r>
      <w:r>
        <w:rPr>
          <w:rFonts w:ascii="Microsoft YaHei" w:hAnsi="Microsoft YaHei" w:eastAsia="Microsoft YaHei"/>
          <w:b w:val="0"/>
          <w:color w:val="000000"/>
          <w:sz w:val="21"/>
        </w:rPr>
        <w:t>应用场景说明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资料范围  </w:t>
      </w:r>
      <w:r>
        <w:rPr>
          <w:rFonts w:ascii="Microsoft YaHei" w:hAnsi="Microsoft YaHei" w:eastAsia="Microsoft YaHei"/>
          <w:b w:val="0"/>
          <w:color w:val="000000"/>
          <w:sz w:val="21"/>
        </w:rPr>
        <w:t>川农大 苍坪山片区及观音阁拓展点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版本日期  </w:t>
      </w:r>
      <w:r>
        <w:rPr>
          <w:rFonts w:ascii="Microsoft YaHei" w:hAnsi="Microsoft YaHei" w:eastAsia="Microsoft YaHei"/>
          <w:b w:val="0"/>
          <w:color w:val="000000"/>
          <w:sz w:val="21"/>
        </w:rPr>
        <w:t>2026年10月</w:t>
      </w:r>
    </w:p>
    <w:p>
      <w:r>
        <w:br w:type="page"/>
      </w:r>
    </w:p>
    <w:p>
      <w:pPr>
        <w:pStyle w:val="Heading1"/>
      </w:pPr>
      <w:r>
        <w:t>一 应用定位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康迹面向中小学生、教师、游客和档案文保人员，把分散的建筑、机构与历史事件整理为可追溯的时空档案。当前网页原型包含 6 个点位、4 个时间层、33 条事实、8 个权威来源入口、证据约束问答、6 套研学顺序、时期影像对照和 20 题本地验证。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项目解决的不是简单的景点介绍问题，而是地方史资料有但难串联、生成式 AI 容易补写空白、历史照片与 AI 图容易混淆、未经实测路线容易制造伪精确等实际问题。</w:t>
      </w:r>
    </w:p>
    <w:p>
      <w:pPr>
        <w:pStyle w:val="Heading1"/>
      </w:pPr>
      <w:r>
        <w:t>二 目标用户与任务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51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用户</w:t>
            </w:r>
          </w:p>
        </w:tc>
        <w:tc>
          <w:tcPr>
            <w:tcW w:type="dxa" w:w="244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主要任务</w:t>
            </w:r>
          </w:p>
        </w:tc>
        <w:tc>
          <w:tcPr>
            <w:tcW w:type="dxa" w:w="2880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典型困难</w:t>
            </w:r>
          </w:p>
        </w:tc>
        <w:tc>
          <w:tcPr>
            <w:tcW w:type="dxa" w:w="259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原型输出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中小学生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理解一栋建筑的前世今生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年代与机构关系抽象 资料分散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时空档案与带出处探究卡</w:t>
            </w:r>
          </w:p>
        </w:tc>
      </w:tr>
      <w:tr>
        <w:tc>
          <w:tcPr>
            <w:tcW w:type="dxa" w:w="15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教师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开展地方史与 AI 素养课</w:t>
            </w:r>
          </w:p>
        </w:tc>
        <w:tc>
          <w:tcPr>
            <w:tcW w:type="dxa" w:w="288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网络内容难核实 学生容易照抄</w:t>
            </w:r>
          </w:p>
        </w:tc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有证据回答和拒答对照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游客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出发前决定重点看什么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普通攻略缺少出处 容易错误串联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主题研学顺序与边界提醒</w:t>
            </w:r>
          </w:p>
        </w:tc>
      </w:tr>
      <w:tr>
        <w:tc>
          <w:tcPr>
            <w:tcW w:type="dxa" w:w="15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档案文保人员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低成本传播与维护资料</w:t>
            </w:r>
          </w:p>
        </w:tc>
        <w:tc>
          <w:tcPr>
            <w:tcW w:type="dxa" w:w="288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专业资料公众可读性不足</w:t>
            </w:r>
          </w:p>
        </w:tc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结构化事实卡与版本化来源</w:t>
            </w:r>
          </w:p>
        </w:tc>
      </w:tr>
    </w:tbl>
    <w:p>
      <w:pPr>
        <w:spacing w:after="20"/>
      </w:pPr>
    </w:p>
    <w:p>
      <w:pPr>
        <w:pStyle w:val="Heading1"/>
      </w:pPr>
      <w:r>
        <w:t>三 核心使用场景</w:t>
      </w:r>
    </w:p>
    <w:p>
      <w:pPr>
        <w:pStyle w:val="Heading2"/>
      </w:pPr>
      <w:r>
        <w:t>学生三分钟理解一栋建筑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学生在课堂或家中点击康楼，先查看原名称、始建年代、建筑形制和现用途，再把时间从 1955 年切换到 1956 年。页面说明原省级机关办公和生活用房在 1956 年 1 月由四川大学农学院接收。学生随后提问康楼为什么连接西康省史与川农校史，并打开至少一个来源。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任务结果是学生能够用自己的话说出原用途、现用途、关键转折和资料出处，而不是直接复制 AI 答案。</w:t>
      </w:r>
    </w:p>
    <w:p>
      <w:pPr>
        <w:pStyle w:val="Heading2"/>
      </w:pPr>
      <w:r>
        <w:t>教师开展地方史证据课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教师先展示康楼相关的有证据问题，再展示康楼设计师是谁这一资料不足问题。学生比较两种输出：前者逐句带 S01 至 S03 来源编号，后者明确说明暂无可靠资料。课堂可以进一步讨论来源等级、AI 幻觉和什么时候应该说不知道。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该场景可用于历史、地理、信息科技、综合实践和人工智能素养课程。教师可把证据库中的事实与原始网页作为课前或课后阅读材料。</w:t>
      </w:r>
    </w:p>
    <w:p>
      <w:pPr>
        <w:pStyle w:val="Heading2"/>
      </w:pPr>
      <w:r>
        <w:t>游客进行行前文化预习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游客选择 60 分钟和西康历史主题，获得由康楼、财政厅旧址、广播电台旧址、气象观测台和党校旧址组成的研学叙事顺序。每一站均显示推荐理由和资料入口。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该输出帮助用户决定重点看什么，但不代替地图导航。道路、交通、开放时间和建筑安全仍需另行核实。观音阁位于另一历史文化街区，因此作为独立拓展点，不被伪装成连续步行站点。</w:t>
      </w:r>
    </w:p>
    <w:p>
      <w:pPr>
        <w:pStyle w:val="Heading2"/>
      </w:pPr>
      <w:r>
        <w:t>档案与文保数字策展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管理人员把新增资料拆为点位、时间、机构和事件事实单元，记录发布单位、日期、原文地址、可信度和图片权利状态，再由人工审核发布。公众看到简洁叙事，维护人员保留完整证据链。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这一流程可以低成本复制到其他历史文化街区、校园遗产、工业遗产和红色遗址主题。正式产品可增加资料后台、版本追踪和专家审核，不需要推翻现有数据结构。</w:t>
      </w:r>
    </w:p>
    <w:p>
      <w:pPr>
        <w:pStyle w:val="Heading1"/>
      </w:pPr>
      <w:r>
        <w:t>四 用户任务闭环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037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步骤</w:t>
            </w:r>
          </w:p>
        </w:tc>
        <w:tc>
          <w:tcPr>
            <w:tcW w:type="dxa" w:w="223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用户行为</w:t>
            </w:r>
          </w:p>
        </w:tc>
        <w:tc>
          <w:tcPr>
            <w:tcW w:type="dxa" w:w="352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系统反馈</w:t>
            </w:r>
          </w:p>
        </w:tc>
        <w:tc>
          <w:tcPr>
            <w:tcW w:type="dxa" w:w="259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可验证结果</w:t>
            </w:r>
          </w:p>
        </w:tc>
      </w:tr>
      <w:tr>
        <w:tc>
          <w:tcPr>
            <w:tcW w:type="dxa" w:w="103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发现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点击地图点位</w:t>
            </w:r>
          </w:p>
        </w:tc>
        <w:tc>
          <w:tcPr>
            <w:tcW w:type="dxa" w:w="35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显示建筑身份证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用户知道原名与现用途</w:t>
            </w:r>
          </w:p>
        </w:tc>
      </w:tr>
      <w:tr>
        <w:tc>
          <w:tcPr>
            <w:tcW w:type="dxa" w:w="1037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理解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切换时间层</w:t>
            </w:r>
          </w:p>
        </w:tc>
        <w:tc>
          <w:tcPr>
            <w:tcW w:type="dxa" w:w="352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显示时期故事与影像身份</w:t>
            </w:r>
          </w:p>
        </w:tc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用户知道关键转折</w:t>
            </w:r>
          </w:p>
        </w:tc>
      </w:tr>
      <w:tr>
        <w:tc>
          <w:tcPr>
            <w:tcW w:type="dxa" w:w="103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提问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输入历史问题</w:t>
            </w:r>
          </w:p>
        </w:tc>
        <w:tc>
          <w:tcPr>
            <w:tcW w:type="dxa" w:w="35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回答带来源或明确拒答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用户理解证据边界</w:t>
            </w:r>
          </w:p>
        </w:tc>
      </w:tr>
      <w:tr>
        <w:tc>
          <w:tcPr>
            <w:tcW w:type="dxa" w:w="1037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核验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打开来源或证据库</w:t>
            </w:r>
          </w:p>
        </w:tc>
        <w:tc>
          <w:tcPr>
            <w:tcW w:type="dxa" w:w="352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查看事实 资料类型和日期</w:t>
            </w:r>
          </w:p>
        </w:tc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用户能回到原始资料</w:t>
            </w:r>
          </w:p>
        </w:tc>
      </w:tr>
      <w:tr>
        <w:tc>
          <w:tcPr>
            <w:tcW w:type="dxa" w:w="103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组织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选择主题与时长</w:t>
            </w:r>
          </w:p>
        </w:tc>
        <w:tc>
          <w:tcPr>
            <w:tcW w:type="dxa" w:w="35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生成研学叙事顺序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用户形成学习计划</w:t>
            </w:r>
          </w:p>
        </w:tc>
      </w:tr>
      <w:tr>
        <w:tc>
          <w:tcPr>
            <w:tcW w:type="dxa" w:w="1037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带走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打印或复制链接</w:t>
            </w:r>
          </w:p>
        </w:tc>
        <w:tc>
          <w:tcPr>
            <w:tcW w:type="dxa" w:w="352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输出研学单或分享入口</w:t>
            </w:r>
          </w:p>
        </w:tc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任务可继续使用</w:t>
            </w:r>
          </w:p>
        </w:tc>
      </w:tr>
    </w:tbl>
    <w:p>
      <w:pPr>
        <w:spacing w:after="20"/>
      </w:pPr>
    </w:p>
    <w:p>
      <w:pPr>
        <w:pStyle w:val="Heading1"/>
      </w:pPr>
      <w:r>
        <w:t>五 实用性与可落地性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普通浏览器即可运行  无需三维建模 扫描设备或专用客户端。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核心资料来自政府 文保部门和高校档案馆  可通过网络采集与复核。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静态网页可部署到学校服务器或静态托管  手机 平板和电脑均可访问。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新增点位主要扩充结构化事实 来源和视觉素材  不需重做整套界面。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来源编号 拒答 置信度 图片授权和 AI 标识共同降低误传风险。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课堂教学 行前预习 城市文化传播和资料整理均不依赖线下采访才能启动。</w:t>
      </w:r>
    </w:p>
    <w:p>
      <w:pPr>
        <w:pStyle w:val="Heading1"/>
      </w:pPr>
      <w:r>
        <w:t>六 远程试点方案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首轮试点可由 1 名教师、3 至 5 名学生和 2 名普通用户通过在线链接完成，不要求实地调研。远程试用应使用统一任务说明并记录完成时间、错误点和来源点击情况。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1.  在三分钟内找到康楼的原用途、现用途和 1956 年转折。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2.  提问一个有资料的问题并打开至少一个来源。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3.  提问一个资料不足的问题并判断系统是否正确拒答。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4.  生成一条 30 分钟或 60 分钟主题研学顺序。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5.  区分开放授权实景与 AI 复原示意。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6.  在证据库中筛选一个点位并找到对应事实。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09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19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建议目标</w:t>
            </w:r>
          </w:p>
        </w:tc>
        <w:tc>
          <w:tcPr>
            <w:tcW w:type="dxa" w:w="4320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记录方式</w:t>
            </w:r>
          </w:p>
        </w:tc>
      </w:tr>
      <w:tr>
        <w:tc>
          <w:tcPr>
            <w:tcW w:type="dxa" w:w="30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核心功能可用率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100%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6 点位逐项操作</w:t>
            </w:r>
          </w:p>
        </w:tc>
      </w:tr>
      <w:tr>
        <w:tc>
          <w:tcPr>
            <w:tcW w:type="dxa" w:w="30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肯定性回答来源绑定率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100%</w:t>
            </w:r>
          </w:p>
        </w:tc>
        <w:tc>
          <w:tcPr>
            <w:tcW w:type="dxa" w:w="432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20题测试与人工抽查</w:t>
            </w:r>
          </w:p>
        </w:tc>
      </w:tr>
      <w:tr>
        <w:tc>
          <w:tcPr>
            <w:tcW w:type="dxa" w:w="30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证据不足拒答率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100%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设计者 开放时间 结构安全</w:t>
            </w:r>
          </w:p>
        </w:tc>
      </w:tr>
      <w:tr>
        <w:tc>
          <w:tcPr>
            <w:tcW w:type="dxa" w:w="30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三分钟理解任务完成率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不低于80%</w:t>
            </w:r>
          </w:p>
        </w:tc>
        <w:tc>
          <w:tcPr>
            <w:tcW w:type="dxa" w:w="432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远程任务计时</w:t>
            </w:r>
          </w:p>
        </w:tc>
      </w:tr>
      <w:tr>
        <w:tc>
          <w:tcPr>
            <w:tcW w:type="dxa" w:w="30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实景与AI图区分正确率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不低于90%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口头或问卷判断</w:t>
            </w:r>
          </w:p>
        </w:tc>
      </w:tr>
      <w:tr>
        <w:tc>
          <w:tcPr>
            <w:tcW w:type="dxa" w:w="30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来源入口可访问率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不低于90%</w:t>
            </w:r>
          </w:p>
        </w:tc>
        <w:tc>
          <w:tcPr>
            <w:tcW w:type="dxa" w:w="432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定期链接检查</w:t>
            </w:r>
          </w:p>
        </w:tc>
      </w:tr>
      <w:tr>
        <w:tc>
          <w:tcPr>
            <w:tcW w:type="dxa" w:w="30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新事实人工复核率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100%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发布前审核记录</w:t>
            </w:r>
          </w:p>
        </w:tc>
      </w:tr>
    </w:tbl>
    <w:p>
      <w:pPr>
        <w:spacing w:after="20"/>
      </w:pPr>
    </w:p>
    <w:p>
      <w:pPr>
        <w:pStyle w:val="Heading1"/>
      </w:pPr>
      <w:r>
        <w:t>七 运营与维护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9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460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责任</w:t>
            </w:r>
          </w:p>
        </w:tc>
        <w:tc>
          <w:tcPr>
            <w:tcW w:type="dxa" w:w="280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输出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资料录入者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收集公开资料并拆分事实</w:t>
            </w:r>
          </w:p>
        </w:tc>
        <w:tc>
          <w:tcPr>
            <w:tcW w:type="dxa" w:w="28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事实条目与原文摘录</w:t>
            </w:r>
          </w:p>
        </w:tc>
      </w:tr>
      <w:tr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史料审核者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核对来源 处理冲突 标记待考证</w:t>
            </w:r>
          </w:p>
        </w:tc>
        <w:tc>
          <w:tcPr>
            <w:tcW w:type="dxa" w:w="28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审核结论与可信度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图片权利审核者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检查作者 授权与转载边界</w:t>
            </w:r>
          </w:p>
        </w:tc>
        <w:tc>
          <w:tcPr>
            <w:tcW w:type="dxa" w:w="28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图片权利状态</w:t>
            </w:r>
          </w:p>
        </w:tc>
      </w:tr>
      <w:tr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发布管理员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发布版本 检查链接 记录更新时间</w:t>
            </w:r>
          </w:p>
        </w:tc>
        <w:tc>
          <w:tcPr>
            <w:tcW w:type="dxa" w:w="28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公开页面与版本记录</w:t>
            </w:r>
          </w:p>
        </w:tc>
      </w:tr>
    </w:tbl>
    <w:p>
      <w:pPr>
        <w:spacing w:after="20"/>
      </w:pP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建议更新流程为资料导入、事实拆解、人工核验、权利检查、发布和版本记录。相互矛盾或无法证实的信息保留不同说法并标为待考证，不由 AI 强行合并。</w:t>
      </w:r>
    </w:p>
    <w:p>
      <w:pPr>
        <w:pStyle w:val="Heading1"/>
      </w:pPr>
      <w:r>
        <w:t>八 使用边界与风险控制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地图是片区级示意  不提供未经核实的精确坐标。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研学顺序与用时属于内容组织估算  不作为导航建议。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开放时间 门票 建筑安全和交通条件必须由权威部门确认。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AI 复原图不得标为历史照片  缺少图纸的细节不得作为事实。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未获开放授权的官方或自媒体图片仅保留原文链接。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20 题本地校验验证配置规则  不替代专家审查。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当前原型不收集身份信息和实时位置  不支持未经审核的公开投稿。</w:t>
      </w:r>
    </w:p>
    <w:p>
      <w:pPr>
        <w:pStyle w:val="Heading1"/>
      </w:pPr>
      <w:r>
        <w:t>九 推广路径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康迹使用点位、时间、机构、事件和来源的通用结构。更换资料库后可扩展到其他历史文化街区、校园建筑、工业遗产、红色遗址和古镇文化资源。可复制的核心不是某一套界面，而是每条结论可追溯、每个空白不乱补、每幅 AI 图明确标识的工作方法。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b w:val="0"/>
        <w:color w:val="5A6570"/>
        <w:sz w:val="18"/>
      </w:rPr>
      <w:t xml:space="preserve">第 </w:t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5A657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b w:val="0"/>
        <w:color w:val="5A6570"/>
        <w:sz w:val="17"/>
      </w:rPr>
      <w:t>康迹 应用场景说明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Text">
    <w:name w:val="Caption Text"/>
    <w:pPr>
      <w:keepNext w:val="0"/>
      <w:spacing w:after="180"/>
      <w:jc w:val="center"/>
    </w:pPr>
    <w:rPr>
      <w:rFonts w:ascii="Microsoft YaHei" w:hAnsi="Microsoft YaHei" w:eastAsia="Microsoft YaHei"/>
      <w:color w:val="5A65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